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6222" w14:textId="08AED1F5" w:rsidR="00237E57" w:rsidRPr="00BF6BDC" w:rsidRDefault="003C497C" w:rsidP="001E1EA1">
      <w:pPr>
        <w:tabs>
          <w:tab w:val="left" w:pos="0"/>
        </w:tabs>
        <w:suppressAutoHyphens/>
        <w:ind w:right="-1040"/>
        <w:rPr>
          <w:rFonts w:ascii="Calibri" w:hAnsi="Calibri"/>
          <w:sz w:val="24"/>
        </w:rPr>
      </w:pPr>
      <w:r w:rsidRPr="003C497C">
        <w:rPr>
          <w:rFonts w:ascii="Britannic Bold" w:hAnsi="Britannic Bold"/>
          <w:b/>
          <w:i/>
          <w:outline/>
          <w:sz w:val="52"/>
          <w:szCs w:val="52"/>
          <w14:textOutline w14:w="9525" w14:cap="flat" w14:cmpd="sng" w14:algn="ctr">
            <w14:solidFill>
              <w14:srgbClr w14:val="000000"/>
            </w14:solidFill>
            <w14:prstDash w14:val="solid"/>
            <w14:round/>
          </w14:textOutline>
          <w14:textFill>
            <w14:noFill/>
          </w14:textFill>
        </w:rPr>
        <w:tab/>
      </w:r>
      <w:r w:rsidR="003609B1" w:rsidRPr="003C497C">
        <w:rPr>
          <w:rFonts w:ascii="Britannic Bold" w:hAnsi="Britannic Bold"/>
          <w:b/>
          <w:i/>
          <w:outline/>
          <w:sz w:val="52"/>
          <w:szCs w:val="52"/>
          <w14:textOutline w14:w="9525" w14:cap="flat" w14:cmpd="sng" w14:algn="ctr">
            <w14:solidFill>
              <w14:srgbClr w14:val="000000"/>
            </w14:solidFill>
            <w14:prstDash w14:val="solid"/>
            <w14:round/>
          </w14:textOutline>
          <w14:textFill>
            <w14:noFill/>
          </w14:textFill>
        </w:rPr>
        <w:tab/>
      </w:r>
      <w:r w:rsidR="00C963C5" w:rsidRPr="003C497C">
        <w:rPr>
          <w:rFonts w:ascii="Britannic Bold" w:hAnsi="Britannic Bold"/>
          <w:b/>
          <w:i/>
          <w:outline/>
          <w:sz w:val="52"/>
          <w:szCs w:val="52"/>
          <w14:textOutline w14:w="9525" w14:cap="flat" w14:cmpd="sng" w14:algn="ctr">
            <w14:solidFill>
              <w14:srgbClr w14:val="000000"/>
            </w14:solidFill>
            <w14:prstDash w14:val="solid"/>
            <w14:round/>
          </w14:textOutline>
          <w14:textFill>
            <w14:noFill/>
          </w14:textFill>
        </w:rPr>
        <w:t xml:space="preserve">                      </w:t>
      </w:r>
      <w:r w:rsidR="004534EF" w:rsidRPr="003C497C">
        <w:rPr>
          <w:rFonts w:ascii="Britannic Bold" w:hAnsi="Britannic Bold"/>
          <w:b/>
          <w:i/>
          <w:outline/>
          <w:sz w:val="52"/>
          <w:szCs w:val="52"/>
          <w14:textOutline w14:w="9525" w14:cap="flat" w14:cmpd="sng" w14:algn="ctr">
            <w14:solidFill>
              <w14:srgbClr w14:val="000000"/>
            </w14:solidFill>
            <w14:prstDash w14:val="solid"/>
            <w14:round/>
          </w14:textOutline>
          <w14:textFill>
            <w14:noFill/>
          </w14:textFill>
        </w:rPr>
        <w:t xml:space="preserve"> </w:t>
      </w:r>
      <w:r w:rsidR="00813EE8" w:rsidRPr="003C497C">
        <w:rPr>
          <w:rFonts w:ascii="Britannic Bold" w:hAnsi="Britannic Bold"/>
          <w:b/>
          <w:i/>
          <w:outline/>
          <w:sz w:val="52"/>
          <w:szCs w:val="52"/>
          <w14:textOutline w14:w="9525" w14:cap="flat" w14:cmpd="sng" w14:algn="ctr">
            <w14:solidFill>
              <w14:srgbClr w14:val="000000"/>
            </w14:solidFill>
            <w14:prstDash w14:val="solid"/>
            <w14:round/>
          </w14:textOutline>
          <w14:textFill>
            <w14:noFill/>
          </w14:textFill>
        </w:rPr>
        <w:t xml:space="preserve">      </w:t>
      </w:r>
      <w:r w:rsidR="004534EF" w:rsidRPr="003C497C">
        <w:rPr>
          <w:rFonts w:ascii="Britannic Bold" w:hAnsi="Britannic Bold"/>
          <w:b/>
          <w:i/>
          <w:outline/>
          <w:sz w:val="52"/>
          <w:szCs w:val="52"/>
          <w14:textOutline w14:w="9525" w14:cap="flat" w14:cmpd="sng" w14:algn="ctr">
            <w14:solidFill>
              <w14:srgbClr w14:val="000000"/>
            </w14:solidFill>
            <w14:prstDash w14:val="solid"/>
            <w14:round/>
          </w14:textOutline>
          <w14:textFill>
            <w14:noFill/>
          </w14:textFill>
        </w:rPr>
        <w:t xml:space="preserve">     </w:t>
      </w:r>
      <w:r w:rsidR="00C963C5" w:rsidRPr="003C497C">
        <w:rPr>
          <w:rFonts w:ascii="Britannic Bold" w:hAnsi="Britannic Bold"/>
          <w:b/>
          <w:i/>
          <w:outline/>
          <w:sz w:val="52"/>
          <w:szCs w:val="52"/>
          <w14:textOutline w14:w="9525" w14:cap="flat" w14:cmpd="sng" w14:algn="ctr">
            <w14:solidFill>
              <w14:srgbClr w14:val="000000"/>
            </w14:solidFill>
            <w14:prstDash w14:val="solid"/>
            <w14:round/>
          </w14:textOutline>
          <w14:textFill>
            <w14:noFill/>
          </w14:textFill>
        </w:rPr>
        <w:t xml:space="preserve">   </w:t>
      </w:r>
      <w:r w:rsidR="00523A60" w:rsidRPr="003C497C">
        <w:rPr>
          <w:rFonts w:ascii="Britannic Bold" w:hAnsi="Britannic Bold"/>
          <w:b/>
          <w:i/>
          <w:outline/>
          <w:sz w:val="52"/>
          <w:szCs w:val="52"/>
          <w14:textOutline w14:w="9525" w14:cap="flat" w14:cmpd="sng" w14:algn="ctr">
            <w14:solidFill>
              <w14:srgbClr w14:val="000000"/>
            </w14:solidFill>
            <w14:prstDash w14:val="solid"/>
            <w14:round/>
          </w14:textOutline>
          <w14:textFill>
            <w14:noFill/>
          </w14:textFill>
        </w:rPr>
        <w:t xml:space="preserve"> </w:t>
      </w:r>
      <w:r w:rsidRPr="00D01232">
        <w:rPr>
          <w:noProof/>
        </w:rPr>
        <w:drawing>
          <wp:inline distT="0" distB="0" distL="0" distR="0" wp14:anchorId="0A7AA493" wp14:editId="1E323F30">
            <wp:extent cx="1219200" cy="800100"/>
            <wp:effectExtent l="0" t="0" r="0" b="0"/>
            <wp:docPr id="1" name="Bilde 5"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 skilt&#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r w:rsidR="003609B1" w:rsidRPr="00BF6BDC">
        <w:rPr>
          <w:rFonts w:ascii="Calibri" w:hAnsi="Calibri"/>
          <w:sz w:val="24"/>
        </w:rPr>
        <w:tab/>
      </w:r>
      <w:r w:rsidR="00C963C5" w:rsidRPr="00BF6BDC">
        <w:rPr>
          <w:rFonts w:ascii="Calibri" w:hAnsi="Calibri"/>
          <w:sz w:val="24"/>
        </w:rPr>
        <w:tab/>
      </w:r>
    </w:p>
    <w:p w14:paraId="676E85C4" w14:textId="77777777" w:rsidR="003C497C" w:rsidRPr="003C497C" w:rsidRDefault="003C497C" w:rsidP="003813FA">
      <w:pPr>
        <w:pStyle w:val="bildetekst"/>
        <w:tabs>
          <w:tab w:val="left" w:pos="0"/>
        </w:tabs>
        <w:suppressAutoHyphens/>
        <w:rPr>
          <w:rFonts w:asciiTheme="minorHAnsi" w:hAnsiTheme="minorHAnsi" w:cstheme="minorHAnsi"/>
          <w:szCs w:val="24"/>
          <w:lang w:val="en-US"/>
        </w:rPr>
      </w:pPr>
    </w:p>
    <w:p w14:paraId="18EA1055" w14:textId="77777777" w:rsidR="003C497C" w:rsidRPr="003C497C" w:rsidRDefault="003C497C" w:rsidP="003C497C">
      <w:pPr>
        <w:rPr>
          <w:rFonts w:asciiTheme="minorHAnsi" w:hAnsiTheme="minorHAnsi" w:cstheme="minorHAnsi"/>
          <w:b/>
          <w:bCs/>
          <w:sz w:val="24"/>
          <w:szCs w:val="24"/>
        </w:rPr>
      </w:pPr>
      <w:bookmarkStart w:id="0" w:name="_Hlk153063529"/>
      <w:r w:rsidRPr="003C497C">
        <w:rPr>
          <w:rFonts w:asciiTheme="minorHAnsi" w:hAnsiTheme="minorHAnsi" w:cstheme="minorHAnsi"/>
          <w:b/>
          <w:bCs/>
          <w:sz w:val="24"/>
          <w:szCs w:val="24"/>
        </w:rPr>
        <w:t>Åpenhetsloven</w:t>
      </w:r>
    </w:p>
    <w:p w14:paraId="66814AC5" w14:textId="77777777" w:rsidR="003C497C" w:rsidRPr="003C497C" w:rsidRDefault="003C497C" w:rsidP="003C497C">
      <w:pPr>
        <w:rPr>
          <w:rFonts w:asciiTheme="minorHAnsi" w:hAnsiTheme="minorHAnsi" w:cstheme="minorHAnsi"/>
          <w:sz w:val="24"/>
          <w:szCs w:val="24"/>
        </w:rPr>
      </w:pPr>
      <w:bookmarkStart w:id="1" w:name="_Hlk153064157"/>
      <w:r w:rsidRPr="003C497C">
        <w:rPr>
          <w:rFonts w:asciiTheme="minorHAnsi" w:hAnsiTheme="minorHAnsi" w:cstheme="minorHAnsi"/>
          <w:sz w:val="24"/>
          <w:szCs w:val="24"/>
        </w:rPr>
        <w:t>Åpenhetsloven pålegger større virksomheter i Norge å redegjøre for aktsomhetsvurderinger knyttet til menneskerettigheter og anstendige arbeidsforhold i verdikjeden.</w:t>
      </w:r>
    </w:p>
    <w:p w14:paraId="091E42C2" w14:textId="77777777" w:rsidR="003C497C" w:rsidRPr="003C497C" w:rsidRDefault="003C497C" w:rsidP="003C497C">
      <w:pPr>
        <w:rPr>
          <w:rFonts w:asciiTheme="minorHAnsi" w:hAnsiTheme="minorHAnsi" w:cstheme="minorHAnsi"/>
          <w:sz w:val="24"/>
          <w:szCs w:val="24"/>
        </w:rPr>
      </w:pPr>
    </w:p>
    <w:p w14:paraId="68F3C220" w14:textId="77777777" w:rsidR="003C497C" w:rsidRPr="003C497C" w:rsidRDefault="003C497C" w:rsidP="003C497C">
      <w:pPr>
        <w:rPr>
          <w:rFonts w:asciiTheme="minorHAnsi" w:hAnsiTheme="minorHAnsi" w:cstheme="minorHAnsi"/>
          <w:b/>
          <w:bCs/>
          <w:sz w:val="24"/>
          <w:szCs w:val="24"/>
        </w:rPr>
      </w:pPr>
      <w:r w:rsidRPr="003C497C">
        <w:rPr>
          <w:rFonts w:asciiTheme="minorHAnsi" w:hAnsiTheme="minorHAnsi" w:cstheme="minorHAnsi"/>
          <w:b/>
          <w:bCs/>
          <w:sz w:val="24"/>
          <w:szCs w:val="24"/>
        </w:rPr>
        <w:t>Om selskapet</w:t>
      </w:r>
    </w:p>
    <w:p w14:paraId="6A6B218F"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Kumera Marine AS har hovedkontor i Sandefjord med avdelinger på Hjelset/Molde og på Stord.</w:t>
      </w:r>
    </w:p>
    <w:p w14:paraId="2AF36648" w14:textId="77777777" w:rsidR="003C497C" w:rsidRPr="003C497C" w:rsidRDefault="003C497C" w:rsidP="003C497C">
      <w:pPr>
        <w:rPr>
          <w:rFonts w:asciiTheme="minorHAnsi" w:hAnsiTheme="minorHAnsi" w:cstheme="minorHAnsi"/>
          <w:sz w:val="24"/>
          <w:szCs w:val="24"/>
        </w:rPr>
      </w:pPr>
    </w:p>
    <w:p w14:paraId="56A7B13F"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Kumera Marine er 100% eid av Kumera Corporation – et familieselskap med hovedkontor i Riihimäki/Finland. Kumera Corporation har virksomheter i en rekke land og produksjon i Finland, Norge, Tyskland, Østerrike og Kina. Konsernets omsetning er i overkant av 1 milliard NOK og virksomheten har rundt 800 ansatte.</w:t>
      </w:r>
    </w:p>
    <w:p w14:paraId="7A479699" w14:textId="77777777" w:rsidR="003C497C" w:rsidRPr="003C497C" w:rsidRDefault="003C497C" w:rsidP="003C497C">
      <w:pPr>
        <w:rPr>
          <w:rFonts w:asciiTheme="minorHAnsi" w:hAnsiTheme="minorHAnsi" w:cstheme="minorHAnsi"/>
          <w:sz w:val="24"/>
          <w:szCs w:val="24"/>
        </w:rPr>
      </w:pPr>
    </w:p>
    <w:p w14:paraId="27696E2F"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Kumera Marine selger og produserer fremdriftsløsninger i hovedsak bestående av gearboxer og propellere til ulike fartøystyper. Produksjon av gearboxer foregår ved selskapets hovedkontor i Sandefjord mens propellerne produseres ved vår avdeling på Hjelset.</w:t>
      </w:r>
    </w:p>
    <w:p w14:paraId="12B4CBA2" w14:textId="77777777" w:rsidR="003C497C" w:rsidRPr="003C497C" w:rsidRDefault="003C497C" w:rsidP="003C497C">
      <w:pPr>
        <w:rPr>
          <w:rFonts w:asciiTheme="minorHAnsi" w:hAnsiTheme="minorHAnsi" w:cstheme="minorHAnsi"/>
          <w:sz w:val="24"/>
          <w:szCs w:val="24"/>
        </w:rPr>
      </w:pPr>
    </w:p>
    <w:p w14:paraId="3CF4AF10"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 xml:space="preserve">Kumera Marine omsatte for drøyt 130 mill. NOK i 2022 og hadde ved utgangen av året ca. 50 ansatte. </w:t>
      </w:r>
    </w:p>
    <w:p w14:paraId="11ECCEE9" w14:textId="77777777" w:rsidR="003C497C" w:rsidRPr="003C497C" w:rsidRDefault="003C497C" w:rsidP="003C497C">
      <w:pPr>
        <w:rPr>
          <w:rFonts w:asciiTheme="minorHAnsi" w:hAnsiTheme="minorHAnsi" w:cstheme="minorHAnsi"/>
          <w:sz w:val="24"/>
          <w:szCs w:val="24"/>
        </w:rPr>
      </w:pPr>
    </w:p>
    <w:p w14:paraId="22AFDBD2" w14:textId="77777777" w:rsidR="003C497C" w:rsidRDefault="003C497C" w:rsidP="003C497C">
      <w:pPr>
        <w:rPr>
          <w:rFonts w:asciiTheme="minorHAnsi" w:hAnsiTheme="minorHAnsi" w:cstheme="minorHAnsi"/>
          <w:b/>
          <w:bCs/>
          <w:sz w:val="24"/>
          <w:szCs w:val="24"/>
        </w:rPr>
      </w:pPr>
    </w:p>
    <w:p w14:paraId="24238E77" w14:textId="50889458" w:rsidR="003C497C" w:rsidRPr="003C497C" w:rsidRDefault="003C497C" w:rsidP="003C497C">
      <w:pPr>
        <w:rPr>
          <w:rFonts w:asciiTheme="minorHAnsi" w:hAnsiTheme="minorHAnsi" w:cstheme="minorHAnsi"/>
          <w:b/>
          <w:bCs/>
          <w:sz w:val="28"/>
          <w:szCs w:val="28"/>
        </w:rPr>
      </w:pPr>
      <w:r w:rsidRPr="003C497C">
        <w:rPr>
          <w:rFonts w:asciiTheme="minorHAnsi" w:hAnsiTheme="minorHAnsi" w:cstheme="minorHAnsi"/>
          <w:b/>
          <w:bCs/>
          <w:sz w:val="28"/>
          <w:szCs w:val="28"/>
        </w:rPr>
        <w:t>Redegjørelse 2022 Åpenhetsloven</w:t>
      </w:r>
    </w:p>
    <w:p w14:paraId="031D26BA"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Kumera Marine AS sin redegjørelse for 2022 er følgende ;</w:t>
      </w:r>
    </w:p>
    <w:p w14:paraId="10636997" w14:textId="77777777" w:rsidR="003C497C" w:rsidRPr="003C497C" w:rsidRDefault="003C497C" w:rsidP="003C497C">
      <w:pPr>
        <w:rPr>
          <w:rFonts w:asciiTheme="minorHAnsi" w:hAnsiTheme="minorHAnsi" w:cstheme="minorHAnsi"/>
          <w:sz w:val="24"/>
          <w:szCs w:val="24"/>
        </w:rPr>
      </w:pPr>
    </w:p>
    <w:p w14:paraId="50D68C4A" w14:textId="77777777" w:rsidR="003C497C" w:rsidRPr="003C497C" w:rsidRDefault="003C497C" w:rsidP="003C497C">
      <w:pPr>
        <w:rPr>
          <w:rFonts w:asciiTheme="minorHAnsi" w:hAnsiTheme="minorHAnsi" w:cstheme="minorHAnsi"/>
          <w:sz w:val="24"/>
          <w:szCs w:val="24"/>
          <w:u w:val="single"/>
        </w:rPr>
      </w:pPr>
      <w:r w:rsidRPr="003C497C">
        <w:rPr>
          <w:rFonts w:asciiTheme="minorHAnsi" w:hAnsiTheme="minorHAnsi" w:cstheme="minorHAnsi"/>
          <w:sz w:val="24"/>
          <w:szCs w:val="24"/>
          <w:u w:val="single"/>
        </w:rPr>
        <w:t>Innledning</w:t>
      </w:r>
    </w:p>
    <w:p w14:paraId="51D0D9D5"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Redegjørelsen er utarbeidet av Kumera Marine AS iht. kravene i åpenhetsloven og er gjeldende for Kumera Marine sin operasjon.</w:t>
      </w:r>
    </w:p>
    <w:p w14:paraId="5441B03F" w14:textId="77777777" w:rsidR="003C497C" w:rsidRPr="003C497C" w:rsidRDefault="003C497C" w:rsidP="003C497C">
      <w:pPr>
        <w:rPr>
          <w:rFonts w:asciiTheme="minorHAnsi" w:hAnsiTheme="minorHAnsi" w:cstheme="minorHAnsi"/>
          <w:sz w:val="24"/>
          <w:szCs w:val="24"/>
        </w:rPr>
      </w:pPr>
    </w:p>
    <w:p w14:paraId="771341FE"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Formålet er å gjøre rede for vår prosess for aktsomhetsvurderinger, prosessens funn/resultater samt retningslinjer fremtidige planer for arbeid med å fremme bærekraftig virksomhet med hensyn til menneskerettigheter og anstendige arbeidsforhold.</w:t>
      </w:r>
    </w:p>
    <w:p w14:paraId="38D796B3" w14:textId="77777777" w:rsidR="003C497C" w:rsidRPr="003C497C" w:rsidRDefault="003C497C" w:rsidP="003C497C">
      <w:pPr>
        <w:rPr>
          <w:rFonts w:asciiTheme="minorHAnsi" w:hAnsiTheme="minorHAnsi" w:cstheme="minorHAnsi"/>
          <w:sz w:val="24"/>
          <w:szCs w:val="24"/>
        </w:rPr>
      </w:pPr>
    </w:p>
    <w:p w14:paraId="41BD1A62"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 xml:space="preserve">Rapporten gjelder perioden 1/7-22 – 31/12-22. </w:t>
      </w:r>
    </w:p>
    <w:p w14:paraId="0EA9F4C6" w14:textId="77777777" w:rsidR="003C497C" w:rsidRPr="003C497C" w:rsidRDefault="003C497C" w:rsidP="003C497C">
      <w:pPr>
        <w:rPr>
          <w:rFonts w:asciiTheme="minorHAnsi" w:hAnsiTheme="minorHAnsi" w:cstheme="minorHAnsi"/>
          <w:sz w:val="24"/>
          <w:szCs w:val="24"/>
        </w:rPr>
      </w:pPr>
    </w:p>
    <w:p w14:paraId="29201B3C" w14:textId="77777777" w:rsidR="003C497C" w:rsidRPr="003C497C" w:rsidRDefault="003C497C" w:rsidP="003C497C">
      <w:pPr>
        <w:rPr>
          <w:rFonts w:asciiTheme="minorHAnsi" w:hAnsiTheme="minorHAnsi" w:cstheme="minorHAnsi"/>
          <w:sz w:val="24"/>
          <w:szCs w:val="24"/>
          <w:u w:val="single"/>
        </w:rPr>
      </w:pPr>
      <w:r w:rsidRPr="003C497C">
        <w:rPr>
          <w:rFonts w:asciiTheme="minorHAnsi" w:hAnsiTheme="minorHAnsi" w:cstheme="minorHAnsi"/>
          <w:sz w:val="24"/>
          <w:szCs w:val="24"/>
          <w:u w:val="single"/>
        </w:rPr>
        <w:t>Organisasjon, driftsområder og generelt om våre leverandørkjeder</w:t>
      </w:r>
    </w:p>
    <w:p w14:paraId="4FC19554"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Alle ansatte og styremedlemmer i Kumera Marine er forpliktet til å følge Kumera Corporate sine etiske retningslinjer, hvilket bl.a. innebærer at internasjonale menneskerettigheter gjennom innkjøp støttes og respekteres. Det er forankret at selskaper i konsernet skal være bevisst sin rolle som innkjøper av varer og tjenester og gjennom sitt arbeid bidra til å utvikle seriøse og ansvarlige leverandørkjeder. Kumera Corporate sine etiske retningslinjer kan studeres nærmere her (link).</w:t>
      </w:r>
    </w:p>
    <w:p w14:paraId="508A8AC3" w14:textId="77777777" w:rsid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 xml:space="preserve"> </w:t>
      </w:r>
    </w:p>
    <w:p w14:paraId="216FBB23" w14:textId="77777777" w:rsidR="003C497C" w:rsidRDefault="003C497C" w:rsidP="003C497C">
      <w:pPr>
        <w:rPr>
          <w:rFonts w:asciiTheme="minorHAnsi" w:hAnsiTheme="minorHAnsi" w:cstheme="minorHAnsi"/>
          <w:sz w:val="24"/>
          <w:szCs w:val="24"/>
        </w:rPr>
      </w:pPr>
    </w:p>
    <w:p w14:paraId="27E7491F" w14:textId="5227D4D2" w:rsidR="003C497C" w:rsidRDefault="003C497C" w:rsidP="003C497C">
      <w:pPr>
        <w:rPr>
          <w:rFonts w:asciiTheme="minorHAnsi" w:hAnsiTheme="minorHAnsi" w:cstheme="minorHAnsi"/>
          <w:sz w:val="24"/>
          <w:szCs w:val="24"/>
        </w:rPr>
      </w:pPr>
      <w:r>
        <w:rPr>
          <w:noProof/>
        </w:rPr>
        <w:lastRenderedPageBreak/>
        <w:t xml:space="preserve">                                                                                                                                              </w:t>
      </w:r>
      <w:r w:rsidRPr="00D01232">
        <w:rPr>
          <w:noProof/>
        </w:rPr>
        <w:drawing>
          <wp:inline distT="0" distB="0" distL="0" distR="0" wp14:anchorId="4004F051" wp14:editId="0E8CFF39">
            <wp:extent cx="1219200" cy="800100"/>
            <wp:effectExtent l="0" t="0" r="0" b="0"/>
            <wp:docPr id="9" name="Bilde 5"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 skilt&#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r w:rsidRPr="00BF6BDC">
        <w:rPr>
          <w:rFonts w:ascii="Calibri" w:hAnsi="Calibri"/>
          <w:sz w:val="24"/>
        </w:rPr>
        <w:tab/>
      </w:r>
    </w:p>
    <w:p w14:paraId="770F98C4" w14:textId="7134E350" w:rsidR="003C497C" w:rsidRPr="003C497C" w:rsidRDefault="003C497C" w:rsidP="003C497C">
      <w:pPr>
        <w:rPr>
          <w:rFonts w:asciiTheme="minorHAnsi" w:hAnsiTheme="minorHAnsi" w:cstheme="minorHAnsi"/>
          <w:sz w:val="24"/>
          <w:szCs w:val="24"/>
        </w:rPr>
      </w:pPr>
      <w:r>
        <w:rPr>
          <w:rFonts w:asciiTheme="minorHAnsi" w:hAnsiTheme="minorHAnsi" w:cstheme="minorHAnsi"/>
          <w:sz w:val="24"/>
          <w:szCs w:val="24"/>
        </w:rPr>
        <w:t xml:space="preserve">                </w:t>
      </w:r>
    </w:p>
    <w:p w14:paraId="36A41C2E" w14:textId="77777777" w:rsidR="003C497C" w:rsidRDefault="003C497C" w:rsidP="003C497C">
      <w:pPr>
        <w:rPr>
          <w:rFonts w:asciiTheme="minorHAnsi" w:hAnsiTheme="minorHAnsi" w:cstheme="minorHAnsi"/>
          <w:sz w:val="24"/>
          <w:szCs w:val="24"/>
        </w:rPr>
      </w:pPr>
    </w:p>
    <w:p w14:paraId="6DFA2D1C" w14:textId="53BDE26C"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Innkjøpsansvaret i Kumera Marine er tillagt stillingen Supply Chain Manager og således også ansvaret for den daglige oppfølging og evaluering av leverandørene. Det er etablert rutiner for leverandørevalueringer som del av selskapets kvalitetssikringssystem (hvor selskapet er sertifisert iht. ISO 9001 / ISO 14001 / ISO 45001). Disse rutinene er utvidet til å dekke de spesifikke krav som følger av Åpenhetsloven mht. menneskerettigheter og anstendige arbeidsforhold.</w:t>
      </w:r>
    </w:p>
    <w:p w14:paraId="31A175F2" w14:textId="77777777" w:rsidR="003C497C" w:rsidRPr="003C497C" w:rsidRDefault="003C497C" w:rsidP="003C497C">
      <w:pPr>
        <w:rPr>
          <w:rFonts w:asciiTheme="minorHAnsi" w:hAnsiTheme="minorHAnsi" w:cstheme="minorHAnsi"/>
          <w:sz w:val="24"/>
          <w:szCs w:val="24"/>
        </w:rPr>
      </w:pPr>
    </w:p>
    <w:p w14:paraId="1A36989D"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Kumera Marine sine samlede innkjøp fordeler seg slik pr. land hvor vi i fargekoder har angitt vår vurdering av risiko for brudd på menneskerettigheter og anstendige arbeidsforhold ;</w:t>
      </w:r>
    </w:p>
    <w:p w14:paraId="3B896E64" w14:textId="77777777" w:rsidR="003C497C" w:rsidRPr="003C497C" w:rsidRDefault="003C497C" w:rsidP="003C497C">
      <w:pPr>
        <w:rPr>
          <w:rFonts w:asciiTheme="minorHAnsi" w:hAnsiTheme="minorHAnsi" w:cstheme="minorHAnsi"/>
          <w:sz w:val="24"/>
          <w:szCs w:val="24"/>
        </w:rPr>
      </w:pPr>
    </w:p>
    <w:p w14:paraId="225CC460" w14:textId="76230EB1" w:rsidR="003C497C" w:rsidRPr="003C497C" w:rsidRDefault="003C497C" w:rsidP="003C497C">
      <w:pPr>
        <w:rPr>
          <w:rFonts w:asciiTheme="minorHAnsi" w:hAnsiTheme="minorHAnsi" w:cstheme="minorHAnsi"/>
          <w:sz w:val="24"/>
          <w:szCs w:val="24"/>
          <w:lang w:val="en-GB"/>
        </w:rPr>
      </w:pPr>
      <w:r w:rsidRPr="003C497C">
        <w:rPr>
          <w:rFonts w:asciiTheme="minorHAnsi" w:hAnsiTheme="minorHAnsi" w:cstheme="minorHAnsi"/>
          <w:noProof/>
          <w:sz w:val="24"/>
          <w:szCs w:val="24"/>
          <w:lang w:val="en-GB"/>
        </w:rPr>
        <w:drawing>
          <wp:inline distT="0" distB="0" distL="0" distR="0" wp14:anchorId="114AFDAB" wp14:editId="44F495C9">
            <wp:extent cx="4667250" cy="534670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5346700"/>
                    </a:xfrm>
                    <a:prstGeom prst="rect">
                      <a:avLst/>
                    </a:prstGeom>
                    <a:noFill/>
                    <a:ln>
                      <a:noFill/>
                    </a:ln>
                  </pic:spPr>
                </pic:pic>
              </a:graphicData>
            </a:graphic>
          </wp:inline>
        </w:drawing>
      </w:r>
    </w:p>
    <w:p w14:paraId="5BE66CBE" w14:textId="77777777" w:rsidR="003C497C" w:rsidRPr="003C497C" w:rsidRDefault="003C497C" w:rsidP="003C497C">
      <w:pPr>
        <w:rPr>
          <w:rFonts w:asciiTheme="minorHAnsi" w:hAnsiTheme="minorHAnsi" w:cstheme="minorHAnsi"/>
          <w:sz w:val="24"/>
          <w:szCs w:val="24"/>
          <w:lang w:val="en-GB"/>
        </w:rPr>
      </w:pPr>
    </w:p>
    <w:p w14:paraId="31E69502"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Oversikten viser at Kumera Marine i hovedsak benytter Europeiske leverandører hvor vi vurdere risiko som lav. Et ikke-marginalt kjøp er gjort fra Kina, men siden alt dette kjøpet er fra Kumera Corporation sitt datterselskap Kumera China, er risiko lav da dette selskapet drives etter forretningsprinsippene definert i Kumera-konsernet.</w:t>
      </w:r>
    </w:p>
    <w:p w14:paraId="7562C179" w14:textId="667FCCEB" w:rsidR="003C497C" w:rsidRDefault="003C497C" w:rsidP="003C497C">
      <w:pPr>
        <w:rPr>
          <w:rFonts w:asciiTheme="minorHAnsi" w:hAnsiTheme="minorHAnsi" w:cstheme="minorHAnsi"/>
          <w:sz w:val="24"/>
          <w:szCs w:val="24"/>
        </w:rPr>
      </w:pPr>
      <w:r>
        <w:rPr>
          <w:noProof/>
        </w:rPr>
        <w:lastRenderedPageBreak/>
        <w:t xml:space="preserve">                                                                                                                                              </w:t>
      </w:r>
      <w:r w:rsidRPr="00D01232">
        <w:rPr>
          <w:noProof/>
        </w:rPr>
        <w:drawing>
          <wp:inline distT="0" distB="0" distL="0" distR="0" wp14:anchorId="584FDF8F" wp14:editId="62C97AFB">
            <wp:extent cx="1219200" cy="800100"/>
            <wp:effectExtent l="0" t="0" r="0" b="0"/>
            <wp:docPr id="10" name="Bilde 5" descr="Et bilde som inneholder tekst,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 skilt&#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p>
    <w:p w14:paraId="2424B449" w14:textId="77777777" w:rsidR="003C497C" w:rsidRDefault="003C497C" w:rsidP="003C497C">
      <w:pPr>
        <w:rPr>
          <w:rFonts w:asciiTheme="minorHAnsi" w:hAnsiTheme="minorHAnsi" w:cstheme="minorHAnsi"/>
          <w:sz w:val="24"/>
          <w:szCs w:val="24"/>
        </w:rPr>
      </w:pPr>
    </w:p>
    <w:p w14:paraId="33EE8A9B" w14:textId="77777777" w:rsidR="003C497C" w:rsidRDefault="003C497C" w:rsidP="003C497C">
      <w:pPr>
        <w:rPr>
          <w:rFonts w:asciiTheme="minorHAnsi" w:hAnsiTheme="minorHAnsi" w:cstheme="minorHAnsi"/>
          <w:sz w:val="24"/>
          <w:szCs w:val="24"/>
        </w:rPr>
      </w:pPr>
    </w:p>
    <w:p w14:paraId="75C4CC6D" w14:textId="0B25605D"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Basert på ovenforstående, er det ikke identifisert forhold i vår verdikjede som tilsier brudd på menneskerettigheter eller anstendige arbeidsforhold.</w:t>
      </w:r>
    </w:p>
    <w:p w14:paraId="19E35E9F" w14:textId="77777777" w:rsidR="003C497C" w:rsidRPr="003C497C" w:rsidRDefault="003C497C" w:rsidP="003C497C">
      <w:pPr>
        <w:rPr>
          <w:rFonts w:asciiTheme="minorHAnsi" w:hAnsiTheme="minorHAnsi" w:cstheme="minorHAnsi"/>
          <w:sz w:val="24"/>
          <w:szCs w:val="24"/>
        </w:rPr>
      </w:pPr>
    </w:p>
    <w:p w14:paraId="42B1B854" w14:textId="77777777" w:rsidR="003C497C" w:rsidRPr="003C497C" w:rsidRDefault="003C497C" w:rsidP="003C497C">
      <w:pPr>
        <w:rPr>
          <w:rFonts w:asciiTheme="minorHAnsi" w:hAnsiTheme="minorHAnsi" w:cstheme="minorHAnsi"/>
          <w:sz w:val="24"/>
          <w:szCs w:val="24"/>
          <w:u w:val="single"/>
        </w:rPr>
      </w:pPr>
      <w:r w:rsidRPr="003C497C">
        <w:rPr>
          <w:rFonts w:asciiTheme="minorHAnsi" w:hAnsiTheme="minorHAnsi" w:cstheme="minorHAnsi"/>
          <w:sz w:val="24"/>
          <w:szCs w:val="24"/>
          <w:u w:val="single"/>
        </w:rPr>
        <w:t>Aktsomhetsvurdering</w:t>
      </w:r>
    </w:p>
    <w:p w14:paraId="36F93BB1"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Selv om det i forhold til enhver leverandør vi benytter skal gjelde de samme aktsomhetsvurderinger, har vi i arbeidet med Åpenhetsloven i 2022 fokusert på leverandører hjemhørende i de landene som har høy sannsynlighet for brudd på menneskerettigheter og anstendige arbeidsforhold.</w:t>
      </w:r>
    </w:p>
    <w:p w14:paraId="1273D297" w14:textId="77777777" w:rsidR="003C497C" w:rsidRPr="003C497C" w:rsidRDefault="003C497C" w:rsidP="003C497C">
      <w:pPr>
        <w:rPr>
          <w:rFonts w:asciiTheme="minorHAnsi" w:hAnsiTheme="minorHAnsi" w:cstheme="minorHAnsi"/>
          <w:sz w:val="24"/>
          <w:szCs w:val="24"/>
        </w:rPr>
      </w:pPr>
    </w:p>
    <w:p w14:paraId="0062A3CE"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Vi er kjent med at en del av våre europeiske leverandører benytter underleverandører fra land med høyere risiko, men dette er ikke evaluert i detalj for 2022 og blir derfor et neste skritt på veien for å utvikle dybden i våre evalueringer.</w:t>
      </w:r>
    </w:p>
    <w:p w14:paraId="6332CB1C" w14:textId="77777777" w:rsidR="003C497C" w:rsidRPr="003C497C" w:rsidRDefault="003C497C" w:rsidP="003C497C">
      <w:pPr>
        <w:rPr>
          <w:rFonts w:asciiTheme="minorHAnsi" w:hAnsiTheme="minorHAnsi" w:cstheme="minorHAnsi"/>
          <w:sz w:val="24"/>
          <w:szCs w:val="24"/>
        </w:rPr>
      </w:pPr>
    </w:p>
    <w:p w14:paraId="2EA6D0A2"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Listen ovenfor skal løpende oppdateres dersom det er endrede forhold eller kommer inn leverandører/leverandørland som påvirker risikosettingen.</w:t>
      </w:r>
    </w:p>
    <w:p w14:paraId="509EA873" w14:textId="77777777" w:rsidR="003C497C" w:rsidRPr="003C497C" w:rsidRDefault="003C497C" w:rsidP="003C497C">
      <w:pPr>
        <w:rPr>
          <w:rFonts w:asciiTheme="minorHAnsi" w:hAnsiTheme="minorHAnsi" w:cstheme="minorHAnsi"/>
          <w:sz w:val="24"/>
          <w:szCs w:val="24"/>
        </w:rPr>
      </w:pPr>
    </w:p>
    <w:p w14:paraId="71B11632"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I løpet av 2023 og i forbindelse med utarbeidelse av redegjørelse for 2023, vil vi spesifikt vurdere behovet for at vi til de leverandørene med vesentlige kjøp i land med høy risiko skal gjøre spesifikke besøk for å kunne ytterligere øke kvaliteten i våre evalueringer. I vurderingen for 2022 har det vært vår konklusjon at vi ikke har innkjøp i et tilstrekkelig omfang fra land med høy risiko som tilsier at leverandørbesøk har vært formålstjenlig.</w:t>
      </w:r>
    </w:p>
    <w:p w14:paraId="31AD74E0" w14:textId="77777777" w:rsidR="003C497C" w:rsidRPr="003C497C" w:rsidRDefault="003C497C" w:rsidP="003C497C">
      <w:pPr>
        <w:rPr>
          <w:rFonts w:asciiTheme="minorHAnsi" w:hAnsiTheme="minorHAnsi" w:cstheme="minorHAnsi"/>
          <w:sz w:val="24"/>
          <w:szCs w:val="24"/>
        </w:rPr>
      </w:pPr>
    </w:p>
    <w:p w14:paraId="666980D3" w14:textId="77777777" w:rsidR="003C497C" w:rsidRPr="003C497C" w:rsidRDefault="003C497C" w:rsidP="003C497C">
      <w:pPr>
        <w:rPr>
          <w:rFonts w:asciiTheme="minorHAnsi" w:hAnsiTheme="minorHAnsi" w:cstheme="minorHAnsi"/>
          <w:sz w:val="24"/>
          <w:szCs w:val="24"/>
          <w:u w:val="single"/>
        </w:rPr>
      </w:pPr>
      <w:r w:rsidRPr="003C497C">
        <w:rPr>
          <w:rFonts w:asciiTheme="minorHAnsi" w:hAnsiTheme="minorHAnsi" w:cstheme="minorHAnsi"/>
          <w:sz w:val="24"/>
          <w:szCs w:val="24"/>
          <w:u w:val="single"/>
        </w:rPr>
        <w:t>Generelt om tiltak for å forebygge, begrense og stanse negative effekter</w:t>
      </w:r>
    </w:p>
    <w:p w14:paraId="78801B7B"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Kumera Marine vurderer alle nye leverandører før avtale inngås. Hvor grundig denne vurderingen er, baseres på verdimessig omfang, hvorvidt det er tale om enkelthandel eller rammeavtale og geografisk risiko. Undersøkelsene kan innebære internettsøk, spørreskjema, intervju og i noen tilfeller besøk hos leverandøren.</w:t>
      </w:r>
    </w:p>
    <w:p w14:paraId="65AB2F0C"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 xml:space="preserve"> </w:t>
      </w:r>
    </w:p>
    <w:p w14:paraId="7338D8D1" w14:textId="77777777" w:rsidR="003C497C" w:rsidRPr="003C497C" w:rsidRDefault="003C497C" w:rsidP="003C497C">
      <w:pPr>
        <w:rPr>
          <w:rFonts w:asciiTheme="minorHAnsi" w:hAnsiTheme="minorHAnsi" w:cstheme="minorHAnsi"/>
          <w:sz w:val="24"/>
          <w:szCs w:val="24"/>
        </w:rPr>
      </w:pPr>
      <w:r w:rsidRPr="003C497C">
        <w:rPr>
          <w:rFonts w:asciiTheme="minorHAnsi" w:hAnsiTheme="minorHAnsi" w:cstheme="minorHAnsi"/>
          <w:sz w:val="24"/>
          <w:szCs w:val="24"/>
        </w:rPr>
        <w:t>Kumera Marine vil fortsette arbeidet med sine prioriterte risikoer og leverandørkjeder der risikoen for dårlige arbeidsforhold eller menneskerettighetsbrudd anses høyest. Det forventes at effekten av dette arbeidet vil sette oss bedre i stand til å registrere avvik hos leverandører og deres underleverandører og blir bedre kjent med våre partneres tilnærming til prosesser for å sikre forhold knyttet til menneskerettigheter og anstendige arbeidsforhold. Således vil dette gi et forbedret grunnlag for vårt forebyggende arbeid på området samt grunnlag for å treffe korrigerende tiltak der dette måtte være nødvendig.</w:t>
      </w:r>
    </w:p>
    <w:bookmarkEnd w:id="0"/>
    <w:bookmarkEnd w:id="1"/>
    <w:p w14:paraId="48FA80D6" w14:textId="77777777" w:rsidR="003C497C" w:rsidRPr="003C497C" w:rsidRDefault="003C497C" w:rsidP="003813FA">
      <w:pPr>
        <w:pStyle w:val="bildetekst"/>
        <w:tabs>
          <w:tab w:val="left" w:pos="0"/>
        </w:tabs>
        <w:suppressAutoHyphens/>
        <w:rPr>
          <w:rFonts w:ascii="Calibri" w:hAnsi="Calibri"/>
        </w:rPr>
      </w:pPr>
    </w:p>
    <w:sectPr w:rsidR="003C497C" w:rsidRPr="003C497C" w:rsidSect="00A33F20">
      <w:endnotePr>
        <w:numFmt w:val="decimal"/>
      </w:endnotePr>
      <w:pgSz w:w="11905" w:h="16837"/>
      <w:pgMar w:top="567" w:right="1440" w:bottom="1276" w:left="1440" w:header="57" w:footer="113"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EB24" w14:textId="77777777" w:rsidR="00AA52C4" w:rsidRDefault="00AA52C4">
      <w:pPr>
        <w:spacing w:line="20" w:lineRule="exact"/>
        <w:rPr>
          <w:sz w:val="24"/>
        </w:rPr>
      </w:pPr>
    </w:p>
  </w:endnote>
  <w:endnote w:type="continuationSeparator" w:id="0">
    <w:p w14:paraId="54EA23A1" w14:textId="77777777" w:rsidR="00AA52C4" w:rsidRDefault="00AA52C4">
      <w:r>
        <w:rPr>
          <w:sz w:val="24"/>
        </w:rPr>
        <w:t xml:space="preserve"> </w:t>
      </w:r>
    </w:p>
  </w:endnote>
  <w:endnote w:type="continuationNotice" w:id="1">
    <w:p w14:paraId="1CC04D9E" w14:textId="77777777" w:rsidR="00AA52C4" w:rsidRDefault="00AA52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92BD" w14:textId="77777777" w:rsidR="00AA52C4" w:rsidRDefault="00AA52C4">
      <w:r>
        <w:rPr>
          <w:sz w:val="24"/>
        </w:rPr>
        <w:separator/>
      </w:r>
    </w:p>
  </w:footnote>
  <w:footnote w:type="continuationSeparator" w:id="0">
    <w:p w14:paraId="3CA041DE" w14:textId="77777777" w:rsidR="00AA52C4" w:rsidRDefault="00AA52C4" w:rsidP="00206C22">
      <w:pPr>
        <w:pStyle w:val="innh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13DC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9138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055AE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17D9C"/>
    <w:multiLevelType w:val="hybridMultilevel"/>
    <w:tmpl w:val="BA6412E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D83C3E"/>
    <w:multiLevelType w:val="hybridMultilevel"/>
    <w:tmpl w:val="A094BD4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452791"/>
    <w:multiLevelType w:val="singleLevel"/>
    <w:tmpl w:val="04140001"/>
    <w:lvl w:ilvl="0">
      <w:start w:val="1"/>
      <w:numFmt w:val="bullet"/>
      <w:lvlText w:val=""/>
      <w:lvlJc w:val="left"/>
      <w:pPr>
        <w:ind w:left="720" w:hanging="360"/>
      </w:pPr>
      <w:rPr>
        <w:rFonts w:ascii="Symbol" w:hAnsi="Symbol" w:hint="default"/>
      </w:rPr>
    </w:lvl>
  </w:abstractNum>
  <w:abstractNum w:abstractNumId="7" w15:restartNumberingAfterBreak="0">
    <w:nsid w:val="2FC2715B"/>
    <w:multiLevelType w:val="hybridMultilevel"/>
    <w:tmpl w:val="EA56A3D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AE5DC7"/>
    <w:multiLevelType w:val="hybridMultilevel"/>
    <w:tmpl w:val="DCD0C80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A07FA4"/>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87A7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0660F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914466"/>
    <w:multiLevelType w:val="hybridMultilevel"/>
    <w:tmpl w:val="78C8FA9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B38C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A6362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7776C9"/>
    <w:multiLevelType w:val="hybridMultilevel"/>
    <w:tmpl w:val="822A2D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0452A4"/>
    <w:multiLevelType w:val="hybridMultilevel"/>
    <w:tmpl w:val="C8667B9C"/>
    <w:lvl w:ilvl="0" w:tplc="4DB0D9C4">
      <w:start w:val="14"/>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590E3B70"/>
    <w:multiLevelType w:val="hybridMultilevel"/>
    <w:tmpl w:val="5F42F3CC"/>
    <w:lvl w:ilvl="0" w:tplc="76F86D88">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6557E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4F021E"/>
    <w:multiLevelType w:val="hybridMultilevel"/>
    <w:tmpl w:val="D5E0A8B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66236F"/>
    <w:multiLevelType w:val="hybridMultilevel"/>
    <w:tmpl w:val="2CF2C1C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93210B"/>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16cid:durableId="166663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23108804">
    <w:abstractNumId w:val="18"/>
  </w:num>
  <w:num w:numId="3" w16cid:durableId="2073577948">
    <w:abstractNumId w:val="11"/>
  </w:num>
  <w:num w:numId="4" w16cid:durableId="1123572070">
    <w:abstractNumId w:val="1"/>
  </w:num>
  <w:num w:numId="5" w16cid:durableId="1859734474">
    <w:abstractNumId w:val="9"/>
  </w:num>
  <w:num w:numId="6" w16cid:durableId="973948988">
    <w:abstractNumId w:val="3"/>
  </w:num>
  <w:num w:numId="7" w16cid:durableId="1963343091">
    <w:abstractNumId w:val="14"/>
  </w:num>
  <w:num w:numId="8" w16cid:durableId="2073308797">
    <w:abstractNumId w:val="13"/>
  </w:num>
  <w:num w:numId="9" w16cid:durableId="716008050">
    <w:abstractNumId w:val="8"/>
  </w:num>
  <w:num w:numId="10" w16cid:durableId="1538272290">
    <w:abstractNumId w:val="10"/>
  </w:num>
  <w:num w:numId="11" w16cid:durableId="1373189053">
    <w:abstractNumId w:val="19"/>
  </w:num>
  <w:num w:numId="12" w16cid:durableId="478544124">
    <w:abstractNumId w:val="6"/>
  </w:num>
  <w:num w:numId="13" w16cid:durableId="1807432851">
    <w:abstractNumId w:val="2"/>
  </w:num>
  <w:num w:numId="14" w16cid:durableId="85661818">
    <w:abstractNumId w:val="21"/>
  </w:num>
  <w:num w:numId="15" w16cid:durableId="1166094864">
    <w:abstractNumId w:val="7"/>
  </w:num>
  <w:num w:numId="16" w16cid:durableId="1083448690">
    <w:abstractNumId w:val="15"/>
  </w:num>
  <w:num w:numId="17" w16cid:durableId="1206526336">
    <w:abstractNumId w:val="20"/>
  </w:num>
  <w:num w:numId="18" w16cid:durableId="1503207046">
    <w:abstractNumId w:val="12"/>
  </w:num>
  <w:num w:numId="19" w16cid:durableId="840893996">
    <w:abstractNumId w:val="5"/>
  </w:num>
  <w:num w:numId="20" w16cid:durableId="1998262207">
    <w:abstractNumId w:val="4"/>
  </w:num>
  <w:num w:numId="21" w16cid:durableId="874778880">
    <w:abstractNumId w:val="17"/>
  </w:num>
  <w:num w:numId="22" w16cid:durableId="1714618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16"/>
    <w:rsid w:val="00004512"/>
    <w:rsid w:val="00007BD1"/>
    <w:rsid w:val="00035A87"/>
    <w:rsid w:val="00037D6A"/>
    <w:rsid w:val="00041916"/>
    <w:rsid w:val="00047BF8"/>
    <w:rsid w:val="00057E22"/>
    <w:rsid w:val="000853A6"/>
    <w:rsid w:val="0008737C"/>
    <w:rsid w:val="00092935"/>
    <w:rsid w:val="000A3EDA"/>
    <w:rsid w:val="000D0F6B"/>
    <w:rsid w:val="000D286D"/>
    <w:rsid w:val="000E364B"/>
    <w:rsid w:val="00102C8E"/>
    <w:rsid w:val="00120D4F"/>
    <w:rsid w:val="00131697"/>
    <w:rsid w:val="0013273C"/>
    <w:rsid w:val="00142AC0"/>
    <w:rsid w:val="00167214"/>
    <w:rsid w:val="00174EEB"/>
    <w:rsid w:val="00186D25"/>
    <w:rsid w:val="00192F7B"/>
    <w:rsid w:val="001A59F0"/>
    <w:rsid w:val="001B16AC"/>
    <w:rsid w:val="001B2860"/>
    <w:rsid w:val="001C4AC8"/>
    <w:rsid w:val="001C6FCD"/>
    <w:rsid w:val="001D2E2E"/>
    <w:rsid w:val="001D463C"/>
    <w:rsid w:val="001E0C40"/>
    <w:rsid w:val="001E0D83"/>
    <w:rsid w:val="001E1EA1"/>
    <w:rsid w:val="001F4575"/>
    <w:rsid w:val="00206C22"/>
    <w:rsid w:val="00207C21"/>
    <w:rsid w:val="00211D9B"/>
    <w:rsid w:val="002279E8"/>
    <w:rsid w:val="00232E53"/>
    <w:rsid w:val="00237E57"/>
    <w:rsid w:val="00253C42"/>
    <w:rsid w:val="00253EA3"/>
    <w:rsid w:val="00270DB3"/>
    <w:rsid w:val="00275A2B"/>
    <w:rsid w:val="00295876"/>
    <w:rsid w:val="002A7D57"/>
    <w:rsid w:val="002D0237"/>
    <w:rsid w:val="002D0926"/>
    <w:rsid w:val="003019FA"/>
    <w:rsid w:val="00306F5D"/>
    <w:rsid w:val="00310644"/>
    <w:rsid w:val="00322DA8"/>
    <w:rsid w:val="00324916"/>
    <w:rsid w:val="0032553D"/>
    <w:rsid w:val="00335B43"/>
    <w:rsid w:val="00343E94"/>
    <w:rsid w:val="0035583F"/>
    <w:rsid w:val="003609B1"/>
    <w:rsid w:val="00363696"/>
    <w:rsid w:val="003813FA"/>
    <w:rsid w:val="00383F57"/>
    <w:rsid w:val="00393E81"/>
    <w:rsid w:val="003A3C0B"/>
    <w:rsid w:val="003C497C"/>
    <w:rsid w:val="003F6976"/>
    <w:rsid w:val="00407937"/>
    <w:rsid w:val="004233A9"/>
    <w:rsid w:val="0042632F"/>
    <w:rsid w:val="004272A7"/>
    <w:rsid w:val="0044096C"/>
    <w:rsid w:val="0045155F"/>
    <w:rsid w:val="004534EF"/>
    <w:rsid w:val="00462FEF"/>
    <w:rsid w:val="00494B8D"/>
    <w:rsid w:val="004C2583"/>
    <w:rsid w:val="004C34F7"/>
    <w:rsid w:val="004C64AB"/>
    <w:rsid w:val="004D6415"/>
    <w:rsid w:val="004D7206"/>
    <w:rsid w:val="004F3FA6"/>
    <w:rsid w:val="004F4FD7"/>
    <w:rsid w:val="005018A7"/>
    <w:rsid w:val="0051027D"/>
    <w:rsid w:val="00511145"/>
    <w:rsid w:val="0051563E"/>
    <w:rsid w:val="00523A60"/>
    <w:rsid w:val="00554EB7"/>
    <w:rsid w:val="00576A2B"/>
    <w:rsid w:val="00582FB4"/>
    <w:rsid w:val="00591E50"/>
    <w:rsid w:val="00596264"/>
    <w:rsid w:val="005A60FE"/>
    <w:rsid w:val="005A79EE"/>
    <w:rsid w:val="005C0A13"/>
    <w:rsid w:val="005D711E"/>
    <w:rsid w:val="005D7F93"/>
    <w:rsid w:val="00610320"/>
    <w:rsid w:val="00617616"/>
    <w:rsid w:val="00622FD1"/>
    <w:rsid w:val="00624770"/>
    <w:rsid w:val="0062644C"/>
    <w:rsid w:val="00633702"/>
    <w:rsid w:val="00661525"/>
    <w:rsid w:val="00667033"/>
    <w:rsid w:val="006707A8"/>
    <w:rsid w:val="0068013D"/>
    <w:rsid w:val="006922E5"/>
    <w:rsid w:val="00693822"/>
    <w:rsid w:val="0069384D"/>
    <w:rsid w:val="006970D7"/>
    <w:rsid w:val="006A7A96"/>
    <w:rsid w:val="006B5A87"/>
    <w:rsid w:val="006B7427"/>
    <w:rsid w:val="006F4052"/>
    <w:rsid w:val="00704053"/>
    <w:rsid w:val="007053BF"/>
    <w:rsid w:val="0071480B"/>
    <w:rsid w:val="00721508"/>
    <w:rsid w:val="007413EC"/>
    <w:rsid w:val="00741852"/>
    <w:rsid w:val="007600D9"/>
    <w:rsid w:val="00781E9B"/>
    <w:rsid w:val="007858C0"/>
    <w:rsid w:val="007F2CE2"/>
    <w:rsid w:val="0080328C"/>
    <w:rsid w:val="008057B4"/>
    <w:rsid w:val="008059A2"/>
    <w:rsid w:val="00812B4B"/>
    <w:rsid w:val="00813EE8"/>
    <w:rsid w:val="0081480D"/>
    <w:rsid w:val="00815392"/>
    <w:rsid w:val="0081570C"/>
    <w:rsid w:val="00821105"/>
    <w:rsid w:val="008277B5"/>
    <w:rsid w:val="00832030"/>
    <w:rsid w:val="00833622"/>
    <w:rsid w:val="00833A57"/>
    <w:rsid w:val="00840254"/>
    <w:rsid w:val="00840A65"/>
    <w:rsid w:val="00870326"/>
    <w:rsid w:val="0089079B"/>
    <w:rsid w:val="008978F3"/>
    <w:rsid w:val="008A34EF"/>
    <w:rsid w:val="008C41E9"/>
    <w:rsid w:val="008C44C5"/>
    <w:rsid w:val="0092389E"/>
    <w:rsid w:val="00924B96"/>
    <w:rsid w:val="00937885"/>
    <w:rsid w:val="00990048"/>
    <w:rsid w:val="009A6EB8"/>
    <w:rsid w:val="009A7DEC"/>
    <w:rsid w:val="009B09BE"/>
    <w:rsid w:val="009B79B2"/>
    <w:rsid w:val="009C22B0"/>
    <w:rsid w:val="009C736D"/>
    <w:rsid w:val="009D0470"/>
    <w:rsid w:val="009F303F"/>
    <w:rsid w:val="00A02BAB"/>
    <w:rsid w:val="00A2787B"/>
    <w:rsid w:val="00A33F20"/>
    <w:rsid w:val="00A347CA"/>
    <w:rsid w:val="00A466FF"/>
    <w:rsid w:val="00A77344"/>
    <w:rsid w:val="00A86F6C"/>
    <w:rsid w:val="00A8762C"/>
    <w:rsid w:val="00AA2085"/>
    <w:rsid w:val="00AA52C4"/>
    <w:rsid w:val="00AB0D44"/>
    <w:rsid w:val="00AB2602"/>
    <w:rsid w:val="00AF37FA"/>
    <w:rsid w:val="00B12D00"/>
    <w:rsid w:val="00B15224"/>
    <w:rsid w:val="00B31C48"/>
    <w:rsid w:val="00BB4F7A"/>
    <w:rsid w:val="00BB6A39"/>
    <w:rsid w:val="00BF6BDC"/>
    <w:rsid w:val="00C20FC4"/>
    <w:rsid w:val="00C32853"/>
    <w:rsid w:val="00C331CA"/>
    <w:rsid w:val="00C50AF9"/>
    <w:rsid w:val="00C70FE8"/>
    <w:rsid w:val="00C76011"/>
    <w:rsid w:val="00C767AC"/>
    <w:rsid w:val="00C8084A"/>
    <w:rsid w:val="00C84790"/>
    <w:rsid w:val="00C933DC"/>
    <w:rsid w:val="00C963C5"/>
    <w:rsid w:val="00CA3216"/>
    <w:rsid w:val="00CB4ACA"/>
    <w:rsid w:val="00CC195C"/>
    <w:rsid w:val="00CE4B31"/>
    <w:rsid w:val="00CE7583"/>
    <w:rsid w:val="00CF0969"/>
    <w:rsid w:val="00CF6D6F"/>
    <w:rsid w:val="00D00407"/>
    <w:rsid w:val="00D06282"/>
    <w:rsid w:val="00D12CCD"/>
    <w:rsid w:val="00D16120"/>
    <w:rsid w:val="00D22393"/>
    <w:rsid w:val="00D838D1"/>
    <w:rsid w:val="00D94631"/>
    <w:rsid w:val="00DB5F44"/>
    <w:rsid w:val="00DB72B8"/>
    <w:rsid w:val="00DE1B91"/>
    <w:rsid w:val="00DF22F8"/>
    <w:rsid w:val="00DF5384"/>
    <w:rsid w:val="00E314B5"/>
    <w:rsid w:val="00E370FC"/>
    <w:rsid w:val="00E51460"/>
    <w:rsid w:val="00E54B90"/>
    <w:rsid w:val="00E61890"/>
    <w:rsid w:val="00E878BA"/>
    <w:rsid w:val="00E94ECB"/>
    <w:rsid w:val="00E96289"/>
    <w:rsid w:val="00EA2208"/>
    <w:rsid w:val="00EA7314"/>
    <w:rsid w:val="00EB3D54"/>
    <w:rsid w:val="00EC09D3"/>
    <w:rsid w:val="00EC3D35"/>
    <w:rsid w:val="00EF4CF4"/>
    <w:rsid w:val="00EF5959"/>
    <w:rsid w:val="00F25682"/>
    <w:rsid w:val="00F272EE"/>
    <w:rsid w:val="00F36D81"/>
    <w:rsid w:val="00F45EC8"/>
    <w:rsid w:val="00F56A0C"/>
    <w:rsid w:val="00F639DA"/>
    <w:rsid w:val="00F64458"/>
    <w:rsid w:val="00F64D83"/>
    <w:rsid w:val="00F80855"/>
    <w:rsid w:val="00F94E1B"/>
    <w:rsid w:val="00F95443"/>
    <w:rsid w:val="00FC3811"/>
    <w:rsid w:val="00FC4270"/>
    <w:rsid w:val="00FC6A22"/>
    <w:rsid w:val="00FC7E6A"/>
    <w:rsid w:val="00FD7154"/>
    <w:rsid w:val="00FE0604"/>
    <w:rsid w:val="00FE0735"/>
    <w:rsid w:val="00FE5A25"/>
    <w:rsid w:val="00FF55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BEF0609"/>
  <w15:chartTrackingRefBased/>
  <w15:docId w15:val="{58E6AB62-B6F0-4427-A216-0740E516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1">
    <w:name w:val="heading 1"/>
    <w:basedOn w:val="Normal"/>
    <w:next w:val="Normal"/>
    <w:qFormat/>
    <w:pPr>
      <w:keepNext/>
      <w:tabs>
        <w:tab w:val="left" w:pos="0"/>
      </w:tabs>
      <w:suppressAutoHyphens/>
      <w:outlineLvl w:val="0"/>
    </w:pPr>
    <w:rPr>
      <w:b/>
      <w:i/>
      <w:sz w:val="24"/>
    </w:rPr>
  </w:style>
  <w:style w:type="paragraph" w:styleId="Overskrift3">
    <w:name w:val="heading 3"/>
    <w:basedOn w:val="Normal"/>
    <w:next w:val="Normal"/>
    <w:qFormat/>
    <w:rsid w:val="001E1EA1"/>
    <w:pPr>
      <w:keepNext/>
      <w:spacing w:before="240" w:after="60"/>
      <w:outlineLvl w:val="2"/>
    </w:pPr>
    <w:rPr>
      <w:rFonts w:ascii="Arial" w:hAnsi="Arial" w:cs="Arial"/>
      <w:b/>
      <w:bCs/>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customStyle="1" w:styleId="innh1">
    <w:name w:val="innh 1"/>
    <w:basedOn w:val="Normal"/>
    <w:pPr>
      <w:tabs>
        <w:tab w:val="left" w:leader="dot" w:pos="9000"/>
        <w:tab w:val="right" w:pos="9360"/>
      </w:tabs>
      <w:suppressAutoHyphens/>
      <w:spacing w:before="480"/>
      <w:ind w:left="720" w:right="720" w:hanging="720"/>
    </w:pPr>
    <w:rPr>
      <w:lang w:val="en-US"/>
    </w:rPr>
  </w:style>
  <w:style w:type="paragraph" w:customStyle="1" w:styleId="innh2">
    <w:name w:val="innh 2"/>
    <w:basedOn w:val="Normal"/>
    <w:pPr>
      <w:tabs>
        <w:tab w:val="left" w:leader="dot" w:pos="9000"/>
        <w:tab w:val="right" w:pos="9360"/>
      </w:tabs>
      <w:suppressAutoHyphens/>
      <w:ind w:left="1440" w:right="720" w:hanging="720"/>
    </w:pPr>
    <w:rPr>
      <w:lang w:val="en-US"/>
    </w:rPr>
  </w:style>
  <w:style w:type="paragraph" w:customStyle="1" w:styleId="innh3">
    <w:name w:val="innh 3"/>
    <w:basedOn w:val="Normal"/>
    <w:pPr>
      <w:tabs>
        <w:tab w:val="left" w:leader="dot" w:pos="9000"/>
        <w:tab w:val="right" w:pos="9360"/>
      </w:tabs>
      <w:suppressAutoHyphens/>
      <w:ind w:left="2160" w:right="720" w:hanging="720"/>
    </w:pPr>
    <w:rPr>
      <w:lang w:val="en-US"/>
    </w:rPr>
  </w:style>
  <w:style w:type="paragraph" w:customStyle="1" w:styleId="innh4">
    <w:name w:val="innh 4"/>
    <w:basedOn w:val="Normal"/>
    <w:pPr>
      <w:tabs>
        <w:tab w:val="left" w:leader="dot" w:pos="9000"/>
        <w:tab w:val="right" w:pos="9360"/>
      </w:tabs>
      <w:suppressAutoHyphens/>
      <w:ind w:left="2880" w:right="720" w:hanging="720"/>
    </w:pPr>
    <w:rPr>
      <w:lang w:val="en-US"/>
    </w:rPr>
  </w:style>
  <w:style w:type="paragraph" w:customStyle="1" w:styleId="innh5">
    <w:name w:val="innh 5"/>
    <w:basedOn w:val="Normal"/>
    <w:pPr>
      <w:tabs>
        <w:tab w:val="left" w:leader="dot" w:pos="9000"/>
        <w:tab w:val="right" w:pos="9360"/>
      </w:tabs>
      <w:suppressAutoHyphens/>
      <w:ind w:left="3600" w:right="720" w:hanging="720"/>
    </w:pPr>
    <w:rPr>
      <w:lang w:val="en-US"/>
    </w:rPr>
  </w:style>
  <w:style w:type="paragraph" w:customStyle="1" w:styleId="innh6">
    <w:name w:val="innh 6"/>
    <w:basedOn w:val="Normal"/>
    <w:pPr>
      <w:tabs>
        <w:tab w:val="left" w:pos="9000"/>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left" w:pos="9000"/>
        <w:tab w:val="right" w:pos="9360"/>
      </w:tabs>
      <w:suppressAutoHyphens/>
      <w:ind w:left="720" w:hanging="720"/>
    </w:pPr>
    <w:rPr>
      <w:lang w:val="en-US"/>
    </w:rPr>
  </w:style>
  <w:style w:type="paragraph" w:customStyle="1" w:styleId="innh9">
    <w:name w:val="innh 9"/>
    <w:basedOn w:val="Normal"/>
    <w:pPr>
      <w:tabs>
        <w:tab w:val="left" w:leader="dot" w:pos="9000"/>
        <w:tab w:val="right" w:pos="9360"/>
      </w:tabs>
      <w:suppressAutoHyphens/>
      <w:ind w:left="720" w:hanging="720"/>
    </w:pPr>
    <w:rPr>
      <w:lang w:val="en-US"/>
    </w:rPr>
  </w:style>
  <w:style w:type="paragraph" w:customStyle="1" w:styleId="indeks1">
    <w:name w:val="indeks 1"/>
    <w:basedOn w:val="Normal"/>
    <w:pPr>
      <w:tabs>
        <w:tab w:val="left" w:leader="dot" w:pos="9000"/>
        <w:tab w:val="right" w:pos="9360"/>
      </w:tabs>
      <w:suppressAutoHyphens/>
      <w:ind w:left="1440" w:right="720" w:hanging="1440"/>
    </w:pPr>
    <w:rPr>
      <w:lang w:val="en-US"/>
    </w:rPr>
  </w:style>
  <w:style w:type="paragraph" w:customStyle="1" w:styleId="indeks2">
    <w:name w:val="indeks 2"/>
    <w:basedOn w:val="Normal"/>
    <w:pPr>
      <w:tabs>
        <w:tab w:val="left" w:leader="dot" w:pos="9000"/>
        <w:tab w:val="right" w:pos="9360"/>
      </w:tabs>
      <w:suppressAutoHyphens/>
      <w:ind w:left="1440" w:right="720" w:hanging="720"/>
    </w:pPr>
    <w:rPr>
      <w:lang w:val="en-US"/>
    </w:rPr>
  </w:style>
  <w:style w:type="paragraph" w:customStyle="1" w:styleId="kildelisteoverskrift">
    <w:name w:val="kildelisteoverskrift"/>
    <w:basedOn w:val="Normal"/>
    <w:pPr>
      <w:tabs>
        <w:tab w:val="left" w:pos="9000"/>
        <w:tab w:val="right" w:pos="9360"/>
      </w:tabs>
      <w:suppressAutoHyphens/>
    </w:pPr>
    <w:rPr>
      <w:lang w:val="en-US"/>
    </w:rPr>
  </w:style>
  <w:style w:type="paragraph" w:customStyle="1" w:styleId="bildetekst">
    <w:name w:val="bildetekst"/>
    <w:basedOn w:val="Normal"/>
    <w:rPr>
      <w:sz w:val="24"/>
    </w:rPr>
  </w:style>
  <w:style w:type="character" w:customStyle="1" w:styleId="EquationCaption">
    <w:name w:val="_Equation Caption"/>
  </w:style>
  <w:style w:type="paragraph" w:styleId="Topptekst">
    <w:name w:val="header"/>
    <w:basedOn w:val="Normal"/>
    <w:rsid w:val="00383F57"/>
    <w:pPr>
      <w:tabs>
        <w:tab w:val="center" w:pos="4536"/>
        <w:tab w:val="right" w:pos="9072"/>
      </w:tabs>
    </w:pPr>
  </w:style>
  <w:style w:type="paragraph" w:styleId="Bunntekst">
    <w:name w:val="footer"/>
    <w:basedOn w:val="Normal"/>
    <w:rsid w:val="00383F57"/>
    <w:pPr>
      <w:tabs>
        <w:tab w:val="center" w:pos="4536"/>
        <w:tab w:val="right" w:pos="9072"/>
      </w:tabs>
    </w:pPr>
  </w:style>
  <w:style w:type="character" w:styleId="Hyperkobling">
    <w:name w:val="Hyperlink"/>
    <w:rsid w:val="00383F57"/>
    <w:rPr>
      <w:color w:val="0000FF"/>
      <w:u w:val="single"/>
    </w:rPr>
  </w:style>
  <w:style w:type="paragraph" w:styleId="Bobletekst">
    <w:name w:val="Balloon Text"/>
    <w:basedOn w:val="Normal"/>
    <w:semiHidden/>
    <w:rsid w:val="00324916"/>
    <w:rPr>
      <w:rFonts w:ascii="Tahoma" w:hAnsi="Tahoma" w:cs="Tahoma"/>
      <w:sz w:val="16"/>
      <w:szCs w:val="16"/>
    </w:rPr>
  </w:style>
  <w:style w:type="paragraph" w:styleId="Brdtekst">
    <w:name w:val="Body Text"/>
    <w:basedOn w:val="Normal"/>
    <w:rsid w:val="001E1EA1"/>
    <w:pPr>
      <w:tabs>
        <w:tab w:val="left" w:pos="0"/>
      </w:tabs>
      <w:suppressAutoHyphens/>
    </w:pPr>
    <w:rPr>
      <w:b/>
      <w:i/>
      <w:sz w:val="24"/>
    </w:rPr>
  </w:style>
  <w:style w:type="character" w:styleId="Ulstomtale">
    <w:name w:val="Unresolved Mention"/>
    <w:uiPriority w:val="99"/>
    <w:semiHidden/>
    <w:unhideWhenUsed/>
    <w:rsid w:val="0081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4776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Telefax</vt:lpstr>
    </vt:vector>
  </TitlesOfParts>
  <Company>Helseth AS</Company>
  <LinksUpToDate>false</LinksUpToDate>
  <CharactersWithSpaces>5666</CharactersWithSpaces>
  <SharedDoc>false</SharedDoc>
  <HLinks>
    <vt:vector size="18" baseType="variant">
      <vt:variant>
        <vt:i4>4325416</vt:i4>
      </vt:variant>
      <vt:variant>
        <vt:i4>3</vt:i4>
      </vt:variant>
      <vt:variant>
        <vt:i4>0</vt:i4>
      </vt:variant>
      <vt:variant>
        <vt:i4>5</vt:i4>
      </vt:variant>
      <vt:variant>
        <vt:lpwstr>mailto:torgeir.markhus@kumera.com</vt:lpwstr>
      </vt:variant>
      <vt:variant>
        <vt:lpwstr/>
      </vt:variant>
      <vt:variant>
        <vt:i4>655469</vt:i4>
      </vt:variant>
      <vt:variant>
        <vt:i4>0</vt:i4>
      </vt:variant>
      <vt:variant>
        <vt:i4>0</vt:i4>
      </vt:variant>
      <vt:variant>
        <vt:i4>5</vt:i4>
      </vt:variant>
      <vt:variant>
        <vt:lpwstr>mailto:andrea.rossi@navaltecnica.eu</vt:lpwstr>
      </vt:variant>
      <vt:variant>
        <vt:lpwstr/>
      </vt:variant>
      <vt:variant>
        <vt:i4>3211311</vt:i4>
      </vt:variant>
      <vt:variant>
        <vt:i4>0</vt:i4>
      </vt:variant>
      <vt:variant>
        <vt:i4>0</vt:i4>
      </vt:variant>
      <vt:variant>
        <vt:i4>5</vt:i4>
      </vt:variant>
      <vt:variant>
        <vt:lpwstr>http://www.kumera.com/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subject/>
  <dc:creator>Per Ståle Lysgård</dc:creator>
  <cp:keywords/>
  <cp:lastModifiedBy>Torgeir Markhus</cp:lastModifiedBy>
  <cp:revision>2</cp:revision>
  <cp:lastPrinted>2014-09-22T09:24:00Z</cp:lastPrinted>
  <dcterms:created xsi:type="dcterms:W3CDTF">2023-12-10T01:22:00Z</dcterms:created>
  <dcterms:modified xsi:type="dcterms:W3CDTF">2023-12-10T01:22:00Z</dcterms:modified>
</cp:coreProperties>
</file>